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825AB" w14:textId="4C020FAA"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ZTE, Sanechips</w:t>
            </w:r>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We agree in principle, but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uawei, HiSilicon</w:t>
            </w:r>
          </w:p>
        </w:tc>
        <w:tc>
          <w:tcPr>
            <w:tcW w:w="12176" w:type="dxa"/>
          </w:tcPr>
          <w:p w14:paraId="3406F279" w14:textId="77777777" w:rsidR="00D84496" w:rsidRDefault="009404DE">
            <w:pPr>
              <w:rPr>
                <w:lang w:eastAsia="zh-CN"/>
              </w:rPr>
            </w:pPr>
            <w:r>
              <w:rPr>
                <w:rFonts w:hint="eastAsia"/>
                <w:lang w:eastAsia="zh-CN"/>
              </w:rPr>
              <w:t>W</w:t>
            </w:r>
            <w:r>
              <w:rPr>
                <w:lang w:eastAsia="zh-CN"/>
              </w:rPr>
              <w:t>e support the proposal with the update from InterDigital,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sidRPr="00737816">
        <w:rPr>
          <w:b/>
          <w:bCs/>
        </w:rPr>
        <w:t>FL Summary (Round 1): There is wide support for the updated wording provided by InterDigitial.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ZTE, Sanechips</w:t>
            </w:r>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recognize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We slightly prefer Variant 2 since it is more clear, but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Huawei, HiSilicon</w:t>
            </w:r>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Huawei, HiSilicon</w:t>
            </w:r>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ZTE, Sanechips</w:t>
            </w:r>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174DEE2E" w:rsidR="000C4EB2" w:rsidRPr="000C4EB2" w:rsidRDefault="000C4EB2" w:rsidP="000C4EB2">
      <w:pPr>
        <w:pStyle w:val="Heading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004378B9" w:rsidR="000C4EB2" w:rsidRDefault="000C4EB2" w:rsidP="000C4EB2">
            <w:pPr>
              <w:rPr>
                <w:lang w:eastAsia="zh-CN"/>
              </w:rPr>
            </w:pPr>
          </w:p>
        </w:tc>
        <w:tc>
          <w:tcPr>
            <w:tcW w:w="12176" w:type="dxa"/>
          </w:tcPr>
          <w:p w14:paraId="6410169C" w14:textId="2C2E1E0C" w:rsidR="000C4EB2" w:rsidRDefault="000C4EB2" w:rsidP="000C4EB2">
            <w:pPr>
              <w:rPr>
                <w:lang w:eastAsia="zh-CN"/>
              </w:rPr>
            </w:pPr>
          </w:p>
        </w:tc>
      </w:tr>
    </w:tbl>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lastRenderedPageBreak/>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Specific numbers for X, Y may depend on UE capability and gNB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Mediatek</w:t>
      </w:r>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 xml:space="preserve">Lenovo, Motorola </w:t>
            </w:r>
            <w:r>
              <w:lastRenderedPageBreak/>
              <w:t>Mobility</w:t>
            </w:r>
          </w:p>
        </w:tc>
        <w:tc>
          <w:tcPr>
            <w:tcW w:w="12176" w:type="dxa"/>
          </w:tcPr>
          <w:p w14:paraId="72F99BF4" w14:textId="77777777" w:rsidR="00D84496" w:rsidRDefault="009404DE">
            <w:pPr>
              <w:rPr>
                <w:lang w:eastAsia="zh-CN"/>
              </w:rPr>
            </w:pPr>
            <w:r>
              <w:rPr>
                <w:lang w:eastAsia="zh-CN"/>
              </w:rPr>
              <w:lastRenderedPageBreak/>
              <w:t>We cannot support Alt 1 as it could be quite restrictive in terms of monitoring occasions within  a slot group.</w:t>
            </w:r>
          </w:p>
          <w:p w14:paraId="6CE0D02E" w14:textId="77777777" w:rsidR="00D84496" w:rsidRDefault="009404D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lastRenderedPageBreak/>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ZTE, Sanechips</w:t>
            </w:r>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lastRenderedPageBreak/>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uawei, HiSilicon</w:t>
            </w:r>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FL Summary (Round 1): There is no consensus to agree on any of the alternatives; however there is an urgent need to conclude the issue, since several other decisions depend on progress on this issue.</w:t>
      </w:r>
    </w:p>
    <w:p w14:paraId="0CF2145F" w14:textId="77777777" w:rsidR="00D84496" w:rsidRPr="00737816" w:rsidRDefault="009404DE">
      <w:pPr>
        <w:rPr>
          <w:b/>
          <w:bCs/>
        </w:rPr>
      </w:pPr>
      <w:r w:rsidRPr="00737816">
        <w:rPr>
          <w:b/>
          <w:bCs/>
        </w:rPr>
        <w:t>It has been suggested that Alt 1 could be adopted if additional conditions on Y are agreed (as listed in Issue A1-4). Therefore FL suggests to adopt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0CED514F" w:rsidR="00D84496" w:rsidRDefault="00D84496">
      <w:pPr>
        <w:rPr>
          <w:b/>
          <w:bCs/>
          <w:lang w:eastAsia="zh-CN"/>
        </w:rPr>
      </w:pPr>
    </w:p>
    <w:p w14:paraId="62FFBAFB" w14:textId="77777777" w:rsidR="000C4EB2" w:rsidRPr="000C4EB2" w:rsidRDefault="000C4EB2" w:rsidP="000C4EB2">
      <w:pPr>
        <w:pStyle w:val="Heading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ListParagraph"/>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ListParagraph"/>
              <w:widowControl/>
              <w:numPr>
                <w:ilvl w:val="1"/>
                <w:numId w:val="16"/>
              </w:numPr>
            </w:pPr>
            <w:r>
              <w:t>Each slot group consists of X slots</w:t>
            </w:r>
          </w:p>
          <w:p w14:paraId="38D28617" w14:textId="77777777" w:rsidR="000C4EB2" w:rsidRDefault="000C4EB2" w:rsidP="000C4EB2">
            <w:pPr>
              <w:pStyle w:val="ListParagraph"/>
              <w:widowControl/>
              <w:numPr>
                <w:ilvl w:val="1"/>
                <w:numId w:val="16"/>
              </w:numPr>
            </w:pPr>
            <w:r>
              <w:t>Slot groups are consecutive and non-overlapping</w:t>
            </w:r>
          </w:p>
          <w:p w14:paraId="7F6EF9E4" w14:textId="586C6C7E" w:rsidR="000C4EB2" w:rsidRDefault="000C4EB2" w:rsidP="000C4EB2">
            <w:pPr>
              <w:pStyle w:val="ListParagraph"/>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ListParagraph"/>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ListParagraph"/>
              <w:widowControl/>
              <w:numPr>
                <w:ilvl w:val="1"/>
                <w:numId w:val="16"/>
              </w:numPr>
            </w:pPr>
            <w:r>
              <w:t>FFS: Further definition of capabilities</w:t>
            </w:r>
          </w:p>
          <w:p w14:paraId="21E225D3" w14:textId="77777777" w:rsidR="000C4EB2" w:rsidRDefault="000C4EB2" w:rsidP="000C4EB2">
            <w:pPr>
              <w:pStyle w:val="ListParagraph"/>
              <w:widowControl/>
              <w:numPr>
                <w:ilvl w:val="0"/>
                <w:numId w:val="16"/>
              </w:numPr>
            </w:pPr>
            <w:r>
              <w:t>Alt 2: Use an (X, Y) span as the baseline to define the new capability</w:t>
            </w:r>
          </w:p>
          <w:p w14:paraId="7BD1E212" w14:textId="77777777" w:rsidR="000C4EB2" w:rsidRDefault="000C4EB2" w:rsidP="000C4EB2">
            <w:pPr>
              <w:pStyle w:val="ListParagraph"/>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ListParagraph"/>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ListParagraph"/>
              <w:widowControl/>
              <w:numPr>
                <w:ilvl w:val="1"/>
                <w:numId w:val="16"/>
              </w:numPr>
            </w:pPr>
            <w:r>
              <w:t>Y &lt;= X</w:t>
            </w:r>
          </w:p>
          <w:p w14:paraId="540B16DB" w14:textId="77777777" w:rsidR="000C4EB2" w:rsidRDefault="000C4EB2" w:rsidP="000C4EB2">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ListParagraph"/>
              <w:widowControl/>
              <w:numPr>
                <w:ilvl w:val="1"/>
                <w:numId w:val="16"/>
              </w:numPr>
            </w:pPr>
            <w:r>
              <w:t>FFS: Further definition of capabilities</w:t>
            </w:r>
          </w:p>
          <w:p w14:paraId="7519BDA0" w14:textId="77777777" w:rsidR="000C4EB2" w:rsidRDefault="000C4EB2" w:rsidP="000C4EB2">
            <w:pPr>
              <w:pStyle w:val="ListParagraph"/>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ListParagraph"/>
              <w:widowControl/>
              <w:numPr>
                <w:ilvl w:val="1"/>
                <w:numId w:val="16"/>
              </w:numPr>
            </w:pPr>
            <w:r>
              <w:t>The capability indicates the BD/CCE budget within the sliding window</w:t>
            </w:r>
          </w:p>
          <w:p w14:paraId="6806CEFC" w14:textId="77777777" w:rsidR="000C4EB2" w:rsidRDefault="000C4EB2" w:rsidP="000C4EB2">
            <w:pPr>
              <w:pStyle w:val="ListParagraph"/>
              <w:widowControl/>
              <w:numPr>
                <w:ilvl w:val="1"/>
                <w:numId w:val="16"/>
              </w:numPr>
            </w:pPr>
            <w:r>
              <w:t xml:space="preserve"> The sliding unit of the sliding window is [1] slot.</w:t>
            </w:r>
          </w:p>
          <w:p w14:paraId="01D13909" w14:textId="78A8AC28" w:rsidR="000C4EB2" w:rsidRDefault="000C4EB2" w:rsidP="000C4EB2">
            <w:pPr>
              <w:pStyle w:val="ListParagraph"/>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32E9808A"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Therefore </w:t>
      </w:r>
      <w:r w:rsidR="00737816" w:rsidRPr="00737816">
        <w:rPr>
          <w:highlight w:val="yellow"/>
        </w:rPr>
        <w:t xml:space="preserve">it is appreciated if companies can be ready to go </w:t>
      </w:r>
      <w:r w:rsidR="00737816" w:rsidRPr="00737816">
        <w:rPr>
          <w:highlight w:val="yellow"/>
        </w:rPr>
        <w:lastRenderedPageBreak/>
        <w:t>with Alt 1 with the understanding that it applies to the UE's assumption for reporting its BD/CCE budget within Y slots, but it doesn't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TableGrid"/>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ListParagraph"/>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ListParagraph"/>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ListParagraph"/>
              <w:numPr>
                <w:ilvl w:val="1"/>
                <w:numId w:val="75"/>
              </w:numPr>
            </w:pPr>
            <w:r w:rsidRPr="003A7E58">
              <w:t>Each slot group consists of X slots</w:t>
            </w:r>
          </w:p>
          <w:p w14:paraId="4C6145E4" w14:textId="77777777" w:rsidR="001A7C70" w:rsidRPr="003A7E58" w:rsidRDefault="001A7C70" w:rsidP="005F37EC">
            <w:pPr>
              <w:pStyle w:val="ListParagraph"/>
              <w:numPr>
                <w:ilvl w:val="1"/>
                <w:numId w:val="75"/>
              </w:numPr>
            </w:pPr>
            <w:r w:rsidRPr="003A7E58">
              <w:t>Slot groups are consecutive and non-overlapping</w:t>
            </w:r>
          </w:p>
          <w:p w14:paraId="4AC316A4" w14:textId="77777777" w:rsidR="001A7C70" w:rsidRPr="005F37EC" w:rsidRDefault="001A7C70" w:rsidP="005F37EC">
            <w:pPr>
              <w:pStyle w:val="ListParagraph"/>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ListParagraph"/>
              <w:numPr>
                <w:ilvl w:val="1"/>
                <w:numId w:val="75"/>
              </w:numPr>
            </w:pPr>
            <w:r w:rsidRPr="005F37EC">
              <w:t>Further discuss down-selection of Y within 1&lt;=Y&lt;=X/2 (both in units of slot) when X&gt;1</w:t>
            </w:r>
          </w:p>
          <w:p w14:paraId="105BBC1A" w14:textId="77777777" w:rsidR="001A7C70" w:rsidRPr="005F37EC" w:rsidRDefault="001A7C70" w:rsidP="005F37EC">
            <w:pPr>
              <w:pStyle w:val="ListParagraph"/>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ListParagraph"/>
              <w:numPr>
                <w:ilvl w:val="0"/>
                <w:numId w:val="75"/>
              </w:numPr>
              <w:rPr>
                <w:color w:val="FF0000"/>
              </w:rPr>
            </w:pPr>
            <w:r w:rsidRPr="005F37EC">
              <w:rPr>
                <w:color w:val="FF0000"/>
              </w:rPr>
              <w:t xml:space="preserve">FFS: </w:t>
            </w:r>
            <w:r w:rsidRPr="005F37EC">
              <w:rPr>
                <w:color w:val="FF0000"/>
              </w:rPr>
              <w:t>Whether to r</w:t>
            </w:r>
            <w:r>
              <w:rPr>
                <w:color w:val="FF0000"/>
              </w:rPr>
              <w:t>estrict the</w:t>
            </w:r>
            <w:r w:rsidRPr="005F37EC">
              <w:rPr>
                <w:color w:val="FF0000"/>
              </w:rPr>
              <w:t xml:space="preserve"> location of </w:t>
            </w:r>
            <w:r w:rsidRPr="005F37EC">
              <w:rPr>
                <w:color w:val="FF0000"/>
              </w:rPr>
              <w:t xml:space="preserve">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t xml:space="preserve">Response to Ericsson: </w:t>
            </w:r>
            <w:bookmarkStart w:id="4" w:name="_GoBack"/>
            <w:bookmarkEnd w:id="4"/>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w:t>
            </w:r>
            <w:r>
              <w:rPr>
                <w:lang w:eastAsia="zh-CN"/>
              </w:rPr>
              <w:lastRenderedPageBreak/>
              <w:t xml:space="preserve">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77777777" w:rsidR="000C4EB2" w:rsidRDefault="000C4EB2" w:rsidP="000C4EB2">
            <w:pPr>
              <w:rPr>
                <w:lang w:eastAsia="zh-CN"/>
              </w:rPr>
            </w:pPr>
          </w:p>
        </w:tc>
        <w:tc>
          <w:tcPr>
            <w:tcW w:w="12176" w:type="dxa"/>
          </w:tcPr>
          <w:p w14:paraId="7C63714A" w14:textId="77777777" w:rsidR="000C4EB2" w:rsidRDefault="000C4EB2" w:rsidP="000C4EB2">
            <w:pPr>
              <w:rPr>
                <w:lang w:eastAsia="zh-CN"/>
              </w:rPr>
            </w:pPr>
          </w:p>
        </w:tc>
      </w:tr>
    </w:tbl>
    <w:p w14:paraId="07550078" w14:textId="77777777" w:rsidR="000C4EB2" w:rsidRDefault="000C4EB2">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lastRenderedPageBreak/>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ZTE, Sanechips</w:t>
            </w:r>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uawei, HiSilicon</w:t>
            </w:r>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732BDA95" w14:textId="77777777" w:rsidR="00D84496" w:rsidRDefault="00D84496"/>
    <w:p w14:paraId="746D89B3" w14:textId="77777777" w:rsidR="00D84496" w:rsidRDefault="009404DE">
      <w:r>
        <w:lastRenderedPageBreak/>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ZTE, Sanechips</w:t>
            </w:r>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77777777" w:rsidR="00D84496" w:rsidRDefault="009404D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lastRenderedPageBreak/>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Huawei, HiSilicon</w:t>
            </w:r>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lastRenderedPageBreak/>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77777777" w:rsidR="00D84496" w:rsidRDefault="009404DE">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77777777" w:rsidR="00D84496" w:rsidRDefault="009404DE">
            <w:pPr>
              <w:rPr>
                <w:rFonts w:eastAsia="MS Mincho"/>
                <w:lang w:eastAsia="ko-KR"/>
              </w:rPr>
            </w:pPr>
            <w:r>
              <w:rPr>
                <w:rFonts w:hint="eastAsia"/>
                <w:lang w:eastAsia="zh-CN"/>
              </w:rPr>
              <w:lastRenderedPageBreak/>
              <w:t>v</w:t>
            </w:r>
            <w:r>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lastRenderedPageBreak/>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X={1,2} for SCS 480 kHz</w:t>
      </w:r>
      <w:r>
        <w:br/>
        <w:t>Supported by ZTE, Sanechips,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Supported by ZTE, Sanechips, Nokia, NSB, InterDigital, Panasonic</w:t>
      </w: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lastRenderedPageBreak/>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2D0C70D0" w:rsidR="00D84496" w:rsidRDefault="009404DE">
            <w:pPr>
              <w:rPr>
                <w:rFonts w:eastAsia="MS Mincho"/>
                <w:lang w:eastAsia="ja-JP"/>
              </w:rPr>
            </w:pPr>
            <w:r>
              <w:rPr>
                <w:rFonts w:eastAsia="MS Mincho"/>
                <w:lang w:eastAsia="ja-JP"/>
              </w:rPr>
              <w:t>Oppose X  = 1. Fine with the propos</w:t>
            </w:r>
            <w:r w:rsidRPr="00737816">
              <w:rPr>
                <w:rFonts w:eastAsia="MS Mincho"/>
                <w:lang w:eastAsia="ja-JP"/>
              </w:rPr>
              <w:t>al.</w:t>
            </w:r>
            <w:r w:rsidR="00AC1A35" w:rsidRPr="00737816">
              <w:rPr>
                <w:b/>
                <w:bCs/>
              </w:rPr>
              <w:t xml:space="preserve"> FL Note: Apple's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Huawei, HiSilicon</w:t>
            </w:r>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ZTE, Sanechips</w:t>
            </w:r>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2365328D" w:rsidR="00D0497C" w:rsidRPr="00D0497C" w:rsidRDefault="00D0497C" w:rsidP="00AD457B">
            <w:pPr>
              <w:rPr>
                <w:lang w:eastAsia="zh-CN"/>
              </w:rPr>
            </w:pPr>
            <w:r>
              <w:rPr>
                <w:rFonts w:hint="eastAsia"/>
                <w:lang w:eastAsia="zh-CN"/>
              </w:rPr>
              <w:t>v</w:t>
            </w:r>
            <w:r>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lastRenderedPageBreak/>
        <w:t>X={2,4}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2nd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t>ZTE, Sanechips</w:t>
            </w:r>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lastRenderedPageBreak/>
              <w:t xml:space="preserve">Regarding the Ericsson’s comment, </w:t>
            </w:r>
          </w:p>
          <w:p w14:paraId="04054CF9"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5A6695D1"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lastRenderedPageBreak/>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1A23D94E" w:rsidR="00D0497C" w:rsidRPr="00D0497C" w:rsidRDefault="00D0497C" w:rsidP="00087AE8">
            <w:pPr>
              <w:rPr>
                <w:lang w:eastAsia="zh-CN"/>
              </w:rPr>
            </w:pPr>
            <w:r>
              <w:rPr>
                <w:rFonts w:hint="eastAsia"/>
                <w:lang w:eastAsia="zh-CN"/>
              </w:rPr>
              <w:t>v</w:t>
            </w:r>
            <w:r>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7589D20D" w:rsidR="00AC1A35" w:rsidRDefault="00AC1A35" w:rsidP="00087AE8">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t>For the multi-slot PDCCH monitoring capability, the following are FFS:</w:t>
      </w:r>
    </w:p>
    <w:p w14:paraId="383E6E1F" w14:textId="77777777" w:rsidR="002169AD" w:rsidRPr="00737816" w:rsidRDefault="002169AD" w:rsidP="002169AD">
      <w:pPr>
        <w:pStyle w:val="ListParagraph"/>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ListParagraph"/>
        <w:numPr>
          <w:ilvl w:val="0"/>
          <w:numId w:val="19"/>
        </w:numPr>
        <w:rPr>
          <w:lang w:val="en-GB" w:eastAsia="zh-CN"/>
        </w:rPr>
      </w:pPr>
      <w:r w:rsidRPr="00737816">
        <w:rPr>
          <w:lang w:val="en-GB" w:eastAsia="zh-CN"/>
        </w:rPr>
        <w:t>X={2,4} slots for SCS 960 kHz</w:t>
      </w:r>
    </w:p>
    <w:p w14:paraId="5907D491" w14:textId="797ACAFE" w:rsidR="002169AD" w:rsidRPr="00737816" w:rsidRDefault="002169AD" w:rsidP="002169AD">
      <w:pPr>
        <w:pStyle w:val="ListParagraph"/>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t>ZTE, Sanechips</w:t>
            </w:r>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lastRenderedPageBreak/>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t>H</w:t>
            </w:r>
            <w:r>
              <w:t>uawei, HiSilicon</w:t>
            </w:r>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similar to Alt2. Dispersing Y within the X slots seems to be motivated by considerations on </w:t>
            </w:r>
            <w:r>
              <w:rPr>
                <w:lang w:eastAsia="zh-CN"/>
              </w:rPr>
              <w:lastRenderedPageBreak/>
              <w:t>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lastRenderedPageBreak/>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ZTE, Sanechips</w:t>
            </w:r>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lastRenderedPageBreak/>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w:t>
            </w:r>
            <w:r>
              <w:rPr>
                <w:sz w:val="20"/>
                <w:lang w:eastAsia="zh-CN"/>
              </w:rPr>
              <w:lastRenderedPageBreak/>
              <w:t>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For the supported values of Y, 1&lt;=Y&lt;=X/2 (both in units of slot) when X&gt;1 is the a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lastRenderedPageBreak/>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ZTE, Sanechips</w:t>
            </w:r>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we believe that multiple slots as Y should be 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lastRenderedPageBreak/>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w:t>
      </w:r>
      <w:r w:rsidR="005877B7" w:rsidRPr="00737816">
        <w:rPr>
          <w:b/>
          <w:bCs/>
        </w:rPr>
        <w:lastRenderedPageBreak/>
        <w:t xml:space="preserve">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ListParagraph"/>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ListParagraph"/>
        <w:numPr>
          <w:ilvl w:val="1"/>
          <w:numId w:val="24"/>
        </w:numPr>
      </w:pPr>
      <w:r w:rsidRPr="00737816">
        <w:t>Each slot group consists of X slots</w:t>
      </w:r>
    </w:p>
    <w:p w14:paraId="5B212CC4" w14:textId="77777777" w:rsidR="00572153" w:rsidRPr="00737816" w:rsidRDefault="00572153" w:rsidP="00572153">
      <w:pPr>
        <w:pStyle w:val="ListParagraph"/>
        <w:numPr>
          <w:ilvl w:val="1"/>
          <w:numId w:val="24"/>
        </w:numPr>
      </w:pPr>
      <w:r w:rsidRPr="00737816">
        <w:t>Slot groups are consecutive and non-overlapping</w:t>
      </w:r>
    </w:p>
    <w:p w14:paraId="22BF4FA5" w14:textId="77777777" w:rsidR="00572153" w:rsidRPr="00737816" w:rsidRDefault="00572153" w:rsidP="00572153">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ListParagraph"/>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ListParagraph"/>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Huawei, HiSilicon</w:t>
            </w:r>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ZTE, Sanechips</w:t>
            </w:r>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lastRenderedPageBreak/>
        <w:t>Revise Alt 1 to the following:</w:t>
      </w:r>
    </w:p>
    <w:p w14:paraId="21F9732A" w14:textId="77777777" w:rsidR="002169AD" w:rsidRPr="00737816" w:rsidRDefault="002169AD" w:rsidP="002169AD">
      <w:pPr>
        <w:pStyle w:val="ListParagraph"/>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ListParagraph"/>
        <w:numPr>
          <w:ilvl w:val="1"/>
          <w:numId w:val="24"/>
        </w:numPr>
      </w:pPr>
      <w:r w:rsidRPr="00737816">
        <w:t>Each slot group consists of X slots</w:t>
      </w:r>
    </w:p>
    <w:p w14:paraId="68C754F9" w14:textId="77777777" w:rsidR="002169AD" w:rsidRPr="00737816" w:rsidRDefault="002169AD" w:rsidP="002169AD">
      <w:pPr>
        <w:pStyle w:val="ListParagraph"/>
        <w:numPr>
          <w:ilvl w:val="1"/>
          <w:numId w:val="24"/>
        </w:numPr>
      </w:pPr>
      <w:r w:rsidRPr="00737816">
        <w:t>Slot groups are consecutive and non-overlapping</w:t>
      </w:r>
    </w:p>
    <w:p w14:paraId="4213BD95" w14:textId="77777777" w:rsidR="002169AD" w:rsidRPr="00737816" w:rsidRDefault="002169AD" w:rsidP="002169AD">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ListParagraph"/>
        <w:numPr>
          <w:ilvl w:val="1"/>
          <w:numId w:val="24"/>
        </w:numPr>
        <w:rPr>
          <w:color w:val="FF0000"/>
        </w:rPr>
      </w:pPr>
      <w:r w:rsidRPr="00737816">
        <w:rPr>
          <w:color w:val="FF0000"/>
        </w:rPr>
        <w:t>Further dicuss down-selection of Y within 1&lt;=Y&lt;=X/2 (both in units of slot) when X&gt;1</w:t>
      </w:r>
    </w:p>
    <w:p w14:paraId="0A5CD0E7" w14:textId="1B66231D" w:rsidR="002169AD" w:rsidRPr="00737816" w:rsidRDefault="002169AD" w:rsidP="002169AD">
      <w:pPr>
        <w:pStyle w:val="ListParagraph"/>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ListParagraph"/>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lastRenderedPageBreak/>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t>ZTE, Sanechips</w:t>
            </w:r>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gNB can configure X based on gNB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lastRenderedPageBreak/>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uawei, HiSilicon</w:t>
            </w:r>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lastRenderedPageBreak/>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ZTE, Sanechips</w:t>
            </w:r>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t>However, we can continue with this discussion under Topic A2, once we downselect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lastRenderedPageBreak/>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Heading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Huawei, HiSilicon</w:t>
            </w:r>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lastRenderedPageBreak/>
              <w:t>ZTE, Sanechips</w:t>
            </w:r>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Heading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lastRenderedPageBreak/>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2A384537" w:rsidR="00737816" w:rsidRDefault="00737816" w:rsidP="001A7C70">
            <w:pPr>
              <w:rPr>
                <w:rFonts w:eastAsia="MS Mincho"/>
                <w:lang w:eastAsia="ja-JP"/>
              </w:rPr>
            </w:pPr>
          </w:p>
        </w:tc>
        <w:tc>
          <w:tcPr>
            <w:tcW w:w="12176" w:type="dxa"/>
          </w:tcPr>
          <w:p w14:paraId="3DCDD141" w14:textId="4EB8FFC0" w:rsidR="00737816" w:rsidRDefault="00737816" w:rsidP="001A7C70">
            <w:pPr>
              <w:rPr>
                <w:rFonts w:eastAsia="MS Mincho"/>
                <w:lang w:eastAsia="ja-JP"/>
              </w:rPr>
            </w:pPr>
          </w:p>
        </w:tc>
      </w:tr>
      <w:tr w:rsidR="00737816" w14:paraId="34DAF36A" w14:textId="77777777" w:rsidTr="001A7C70">
        <w:tc>
          <w:tcPr>
            <w:tcW w:w="2405" w:type="dxa"/>
          </w:tcPr>
          <w:p w14:paraId="322DCFA5" w14:textId="3A73CA9B" w:rsidR="00737816" w:rsidRDefault="00737816" w:rsidP="001A7C70">
            <w:pPr>
              <w:rPr>
                <w:lang w:eastAsia="zh-CN"/>
              </w:rPr>
            </w:pPr>
          </w:p>
        </w:tc>
        <w:tc>
          <w:tcPr>
            <w:tcW w:w="12176" w:type="dxa"/>
          </w:tcPr>
          <w:p w14:paraId="2283C9A1" w14:textId="4BC40800" w:rsidR="00737816" w:rsidRDefault="00737816" w:rsidP="001A7C70">
            <w:pPr>
              <w:rPr>
                <w:lang w:eastAsia="zh-CN"/>
              </w:rPr>
            </w:pPr>
          </w:p>
        </w:tc>
      </w:tr>
    </w:tbl>
    <w:p w14:paraId="68B74853" w14:textId="77777777" w:rsidR="007B7D80" w:rsidRPr="00737816" w:rsidRDefault="007B7D80">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2179A789" w14:textId="77777777" w:rsidR="00D84496" w:rsidRDefault="009404DE">
      <w:r>
        <w:t>An open item is whether SSSG switching can support switching between PDCCH multi-slot monitoring periodicities (and per-slot monitoing,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lastRenderedPageBreak/>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ZTE, Sanechips</w:t>
            </w:r>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lastRenderedPageBreak/>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ZTE, Sanechips</w:t>
            </w:r>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lastRenderedPageBreak/>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This is not necessary. This changed the monitoring behavior. if Y&lt;=X then such problem does no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lastRenderedPageBreak/>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ZTE, Sanechips</w:t>
            </w:r>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this can be considered , however currently we think this can be acheive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lastRenderedPageBreak/>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ZTE, Sanechips</w:t>
            </w:r>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lastRenderedPageBreak/>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ZTE, Sanechips</w:t>
            </w:r>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ZTE, Sanechips</w:t>
            </w:r>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w:t>
            </w:r>
            <w:r>
              <w:rPr>
                <w:lang w:eastAsia="zh-CN"/>
              </w:rPr>
              <w:lastRenderedPageBreak/>
              <w:t xml:space="preserve">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lastRenderedPageBreak/>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ZTE, Sanechips</w:t>
            </w:r>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lastRenderedPageBreak/>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lastRenderedPageBreak/>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ZTE, Sanechips</w:t>
            </w:r>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lastRenderedPageBreak/>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 xml:space="preserve">Support for cross-carrier scheduling for one SCS (esp. 120 kHz SCS) should have the highest priority. Other scenarios can be </w:t>
            </w:r>
            <w:r>
              <w:lastRenderedPageBreak/>
              <w:t>considered if time allows.</w:t>
            </w:r>
          </w:p>
        </w:tc>
      </w:tr>
      <w:tr w:rsidR="00D84496" w14:paraId="32847AFE" w14:textId="77777777">
        <w:tc>
          <w:tcPr>
            <w:tcW w:w="2405" w:type="dxa"/>
          </w:tcPr>
          <w:p w14:paraId="6964BA6D" w14:textId="77777777" w:rsidR="00D84496" w:rsidRDefault="009404DE">
            <w:pPr>
              <w:rPr>
                <w:lang w:eastAsia="zh-CN"/>
              </w:rPr>
            </w:pPr>
            <w:r>
              <w:lastRenderedPageBreak/>
              <w:t>Lenovo, Motorola Mobility</w:t>
            </w:r>
          </w:p>
        </w:tc>
        <w:tc>
          <w:tcPr>
            <w:tcW w:w="12176" w:type="dxa"/>
          </w:tcPr>
          <w:p w14:paraId="5850E595" w14:textId="77777777" w:rsidR="00D84496" w:rsidRDefault="009404DE">
            <w:r>
              <w:t>We tend to agree and see that such cross carrier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ZTE, Sanechips</w:t>
            </w:r>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We support this proposal. We are also fine with Intel and InterDigital’s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ZTE, Sanechips</w:t>
            </w:r>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This shoud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lastRenderedPageBreak/>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ZTE, Sanechips</w:t>
            </w:r>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lastRenderedPageBreak/>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lastRenderedPageBreak/>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5" w:name="_Ref78814205"/>
            <w:r>
              <w:t xml:space="preserve">Proposal </w:t>
            </w:r>
            <w:fldSimple w:instr=" SEQ Proposal \* ARABIC ">
              <w:r>
                <w:t>4</w:t>
              </w:r>
            </w:fldSimple>
            <w:bookmarkEnd w:id="25"/>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lastRenderedPageBreak/>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2CEAF0B5" w14:textId="77777777" w:rsidR="00D84496" w:rsidRDefault="00D84496"/>
        </w:tc>
      </w:tr>
      <w:bookmarkEnd w:id="23"/>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w:t>
            </w:r>
            <w:r>
              <w:rPr>
                <w:rFonts w:ascii="Arial" w:hAnsi="Arial" w:cs="Arial"/>
                <w:bCs/>
                <w:i/>
                <w:iCs/>
              </w:rPr>
              <w:lastRenderedPageBreak/>
              <w:t xml:space="preserve">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lastRenderedPageBreak/>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X &gt; 1 slots (e.g. X = 4 for 480 KHz and X = 8 for 960 KHz)</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9404DE">
            <w:pPr>
              <w:keepNext/>
              <w:jc w:val="center"/>
            </w:pPr>
            <w: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87.35pt" o:ole="">
                  <v:imagedata r:id="rId23" o:title=""/>
                </v:shape>
                <o:OLEObject Type="Embed" ProgID="Visio.Drawing.11" ShapeID="_x0000_i1025" DrawAspect="Content" ObjectID="_1691398943" r:id="rId24"/>
              </w:object>
            </w:r>
          </w:p>
          <w:p w14:paraId="1C27B04B" w14:textId="77777777" w:rsidR="00D84496" w:rsidRDefault="009404DE">
            <w:pPr>
              <w:pStyle w:val="Caption"/>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9404DE">
            <w:pPr>
              <w:pStyle w:val="BodyText"/>
              <w:keepNext/>
              <w:jc w:val="center"/>
            </w:pPr>
            <w:r>
              <w:object w:dxaOrig="4428" w:dyaOrig="832" w14:anchorId="3F9AE54C">
                <v:shape id="_x0000_i1026" type="#_x0000_t75" style="width:221.35pt;height:42pt" o:ole="">
                  <v:imagedata r:id="rId25" o:title=""/>
                </v:shape>
                <o:OLEObject Type="Embed" ProgID="Visio.Drawing.11" ShapeID="_x0000_i1026" DrawAspect="Content" ObjectID="_1691398944" r:id="rId26"/>
              </w:object>
            </w:r>
          </w:p>
          <w:p w14:paraId="65ADC91F" w14:textId="77777777" w:rsidR="00D84496" w:rsidRDefault="009404DE">
            <w:pPr>
              <w:pStyle w:val="Caption"/>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9404DE">
            <w:pPr>
              <w:pStyle w:val="BodyText"/>
              <w:keepNext/>
              <w:jc w:val="center"/>
            </w:pPr>
            <w:r>
              <w:object w:dxaOrig="7625" w:dyaOrig="2048" w14:anchorId="345B6C20">
                <v:shape id="_x0000_i1027" type="#_x0000_t75" style="width:380.65pt;height:102pt" o:ole="">
                  <v:imagedata r:id="rId27" o:title=""/>
                </v:shape>
                <o:OLEObject Type="Embed" ProgID="Visio.Drawing.11" ShapeID="_x0000_i1027" DrawAspect="Content" ObjectID="_1691398945" r:id="rId28"/>
              </w:object>
            </w:r>
          </w:p>
          <w:p w14:paraId="667EA9C1" w14:textId="77777777" w:rsidR="00D84496" w:rsidRDefault="009404DE">
            <w:pPr>
              <w:pStyle w:val="Caption"/>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t>In which slot(s) of a multi-slot span shall PDCCH be monitored?</w:t>
            </w:r>
            <w:bookmarkEnd w:id="37"/>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BF22791" w14:textId="77777777" w:rsidR="00D84496" w:rsidRDefault="009404DE">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3E4AF1B" w14:textId="77777777" w:rsidR="00D84496" w:rsidRDefault="009404DE">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35D482FC" w14:textId="77777777" w:rsidR="00D84496" w:rsidRDefault="009404DE">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34B1BD76" w14:textId="77777777" w:rsidR="00D84496" w:rsidRDefault="009404DE">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21BE2F63" w14:textId="77777777" w:rsidR="00D84496" w:rsidRDefault="009404DE">
            <w:pPr>
              <w:pStyle w:val="Observation"/>
            </w:pPr>
            <w:bookmarkStart w:id="51"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1"/>
          </w:p>
          <w:p w14:paraId="182CA270" w14:textId="77777777" w:rsidR="00D84496" w:rsidRDefault="009404DE">
            <w:pPr>
              <w:pStyle w:val="Observation"/>
            </w:pPr>
            <w:bookmarkStart w:id="52" w:name="_Toc79169045"/>
            <w:bookmarkStart w:id="53" w:name="_Toc6861047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1A7C70">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1A7C70">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1A7C70">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1A7C70">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(URLLC/IIoT).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9"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 xml:space="preserve">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60" w:name="_Ref68204547"/>
            <w:bookmarkStart w:id="61" w:name="_Toc68530832"/>
            <w:bookmarkStart w:id="62" w:name="_Toc78735997"/>
            <w:bookmarkStart w:id="63" w:name="_Toc68262197"/>
            <w:bookmarkStart w:id="64" w:name="_Toc79099653"/>
            <w:bookmarkStart w:id="65" w:name="_Toc79158897"/>
            <w:bookmarkStart w:id="66" w:name="_Toc68552629"/>
            <w:bookmarkStart w:id="67" w:name="_Toc68261794"/>
            <w:bookmarkStart w:id="68" w:name="_Toc68608251"/>
            <w:bookmarkStart w:id="69" w:name="_Toc68608263"/>
            <w:bookmarkStart w:id="70" w:name="_Toc68262264"/>
            <w:bookmarkStart w:id="71" w:name="_Toc68528592"/>
            <w:bookmarkStart w:id="72" w:name="_Toc68262402"/>
            <w:bookmarkStart w:id="73" w:name="_Toc68262091"/>
            <w:bookmarkStart w:id="74" w:name="_Toc68262151"/>
            <w:bookmarkStart w:id="75" w:name="_Toc68530783"/>
            <w:bookmarkStart w:id="76" w:name="_Toc79158909"/>
            <w:bookmarkStart w:id="77" w:name="_Toc79147714"/>
            <w:bookmarkStart w:id="78" w:name="_Toc68262111"/>
            <w:bookmarkStart w:id="79" w:name="_Toc68262210"/>
            <w:bookmarkStart w:id="80" w:name="_Toc68262231"/>
            <w:bookmarkStart w:id="81"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267AFD" w14:textId="77777777" w:rsidR="00D84496" w:rsidRDefault="009404DE">
            <w:pPr>
              <w:rPr>
                <w:rFonts w:eastAsia="MS Mincho"/>
                <w:b/>
                <w:bCs/>
                <w:lang w:eastAsia="ja-JP"/>
              </w:rPr>
            </w:pPr>
            <w:bookmarkStart w:id="82" w:name="_Toc68262112"/>
            <w:bookmarkStart w:id="83" w:name="_Toc79158910"/>
            <w:bookmarkStart w:id="84" w:name="_Toc68262211"/>
            <w:bookmarkStart w:id="85" w:name="_Toc68552630"/>
            <w:bookmarkStart w:id="86" w:name="_Toc68608252"/>
            <w:bookmarkStart w:id="87" w:name="_Toc79147715"/>
            <w:bookmarkStart w:id="88" w:name="_Toc68530833"/>
            <w:bookmarkStart w:id="89" w:name="_Toc68262232"/>
            <w:bookmarkStart w:id="90" w:name="_Toc79099654"/>
            <w:bookmarkStart w:id="91" w:name="_Toc68262092"/>
            <w:bookmarkStart w:id="92" w:name="_Toc68608264"/>
            <w:bookmarkStart w:id="93" w:name="_Toc68530784"/>
            <w:bookmarkStart w:id="94" w:name="_Toc68262265"/>
            <w:bookmarkStart w:id="95" w:name="_Toc68262198"/>
            <w:bookmarkStart w:id="96" w:name="_Toc68608202"/>
            <w:bookmarkStart w:id="97" w:name="_Toc78735998"/>
            <w:bookmarkStart w:id="98" w:name="_Toc68262403"/>
            <w:bookmarkStart w:id="99" w:name="_Toc68528593"/>
            <w:bookmarkStart w:id="100" w:name="_Toc68262152"/>
            <w:bookmarkStart w:id="101" w:name="_Toc68261795"/>
            <w:bookmarkStart w:id="102"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3" w:name="_Toc68262093"/>
            <w:bookmarkStart w:id="104" w:name="_Toc68262233"/>
            <w:bookmarkStart w:id="105" w:name="_Toc79147716"/>
            <w:bookmarkStart w:id="106" w:name="_Toc68608265"/>
            <w:bookmarkStart w:id="107" w:name="_Toc68608253"/>
            <w:bookmarkStart w:id="108" w:name="_Toc68262212"/>
            <w:bookmarkStart w:id="109" w:name="_Toc68262199"/>
            <w:bookmarkStart w:id="110" w:name="_Toc68262266"/>
            <w:bookmarkStart w:id="111" w:name="_Toc68528594"/>
            <w:bookmarkStart w:id="112" w:name="_Toc68261796"/>
            <w:bookmarkStart w:id="113" w:name="_Toc68530785"/>
            <w:bookmarkStart w:id="114" w:name="_Toc68262404"/>
            <w:bookmarkStart w:id="115" w:name="_Toc79158911"/>
            <w:bookmarkStart w:id="116" w:name="_Toc78735999"/>
            <w:bookmarkStart w:id="117" w:name="_Toc68608203"/>
            <w:bookmarkStart w:id="118" w:name="_Toc68530834"/>
            <w:bookmarkStart w:id="119" w:name="_Toc68262113"/>
            <w:bookmarkStart w:id="120" w:name="_Toc79099655"/>
            <w:bookmarkStart w:id="121" w:name="_Toc79158899"/>
            <w:bookmarkStart w:id="122" w:name="_Toc68262153"/>
            <w:bookmarkStart w:id="123"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5C37133" w14:textId="77777777" w:rsidR="00D84496" w:rsidRDefault="009404DE">
            <w:pPr>
              <w:rPr>
                <w:b/>
                <w:bCs/>
              </w:rPr>
            </w:pPr>
            <w:bookmarkStart w:id="124" w:name="_Toc79099661"/>
            <w:bookmarkStart w:id="125" w:name="_Toc68552637"/>
            <w:bookmarkStart w:id="126" w:name="_Toc79147722"/>
            <w:bookmarkStart w:id="127" w:name="_Toc68530840"/>
            <w:bookmarkStart w:id="128" w:name="_Toc68530791"/>
            <w:bookmarkStart w:id="129" w:name="_Toc68528600"/>
            <w:bookmarkStart w:id="130" w:name="_Toc68262099"/>
            <w:bookmarkStart w:id="131" w:name="_Toc68608271"/>
            <w:bookmarkStart w:id="132" w:name="_Toc68262205"/>
            <w:bookmarkStart w:id="133" w:name="_Toc68608259"/>
            <w:bookmarkStart w:id="134" w:name="_Toc68608209"/>
            <w:bookmarkStart w:id="135" w:name="_Toc79158905"/>
            <w:bookmarkStart w:id="136" w:name="_Toc68261802"/>
            <w:bookmarkStart w:id="137" w:name="_Toc68262159"/>
            <w:bookmarkStart w:id="138" w:name="_Toc79158917"/>
            <w:bookmarkStart w:id="139" w:name="_Toc68262218"/>
            <w:bookmarkStart w:id="140" w:name="_Toc68262410"/>
            <w:bookmarkStart w:id="141" w:name="_Toc68262239"/>
            <w:bookmarkStart w:id="142" w:name="_Toc78736005"/>
            <w:bookmarkStart w:id="143" w:name="_Toc68262272"/>
            <w:bookmarkStart w:id="144"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5" w:name="_Ref78543851"/>
            <w:bookmarkStart w:id="146" w:name="_Toc68608254"/>
            <w:bookmarkStart w:id="147" w:name="_Toc68262200"/>
            <w:bookmarkStart w:id="148" w:name="_Toc68608266"/>
            <w:bookmarkStart w:id="149" w:name="_Toc68262405"/>
            <w:bookmarkStart w:id="150" w:name="_Toc68552632"/>
            <w:bookmarkStart w:id="151" w:name="_Toc68262154"/>
            <w:bookmarkStart w:id="152" w:name="_Toc68528595"/>
            <w:bookmarkStart w:id="153" w:name="_Toc68608204"/>
            <w:bookmarkStart w:id="154" w:name="_Toc68261797"/>
            <w:bookmarkStart w:id="155" w:name="_Toc79158912"/>
            <w:bookmarkStart w:id="156" w:name="_Toc68262114"/>
            <w:bookmarkStart w:id="157" w:name="_Toc68530786"/>
            <w:bookmarkStart w:id="158" w:name="_Toc79147717"/>
            <w:bookmarkStart w:id="159" w:name="_Toc79099656"/>
            <w:bookmarkStart w:id="160" w:name="_Toc78736000"/>
            <w:bookmarkStart w:id="161" w:name="_Toc68262234"/>
            <w:bookmarkStart w:id="162" w:name="_Toc68530835"/>
            <w:bookmarkStart w:id="163" w:name="_Toc68262267"/>
            <w:bookmarkStart w:id="164" w:name="_Toc68262094"/>
            <w:bookmarkStart w:id="165" w:name="_Toc79158900"/>
            <w:bookmarkStart w:id="166"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7" w:name="_Toc68262095"/>
            <w:bookmarkStart w:id="168" w:name="_Toc68262115"/>
            <w:bookmarkStart w:id="169" w:name="_Toc78736001"/>
            <w:bookmarkStart w:id="170" w:name="_Toc68608205"/>
            <w:bookmarkStart w:id="171" w:name="_Toc68530836"/>
            <w:bookmarkStart w:id="172" w:name="_Toc79099657"/>
            <w:bookmarkStart w:id="173" w:name="_Toc79147718"/>
            <w:bookmarkStart w:id="174" w:name="_Toc68262235"/>
            <w:bookmarkStart w:id="175" w:name="_Toc68262201"/>
            <w:bookmarkStart w:id="176" w:name="_Toc68608255"/>
            <w:bookmarkStart w:id="177" w:name="_Toc68608267"/>
            <w:bookmarkStart w:id="178" w:name="_Toc68262155"/>
            <w:bookmarkStart w:id="179" w:name="_Toc79158901"/>
            <w:bookmarkStart w:id="180" w:name="_Toc68262268"/>
            <w:bookmarkStart w:id="181" w:name="_Toc68528596"/>
            <w:bookmarkStart w:id="182" w:name="_Toc68262406"/>
            <w:bookmarkStart w:id="183" w:name="_Toc68261798"/>
            <w:bookmarkStart w:id="184" w:name="_Toc68262214"/>
            <w:bookmarkStart w:id="185" w:name="_Toc79158913"/>
            <w:bookmarkStart w:id="186" w:name="_Toc68530787"/>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7F593A8" w14:textId="77777777" w:rsidR="00D84496" w:rsidRDefault="009404DE">
            <w:pPr>
              <w:rPr>
                <w:b/>
                <w:bCs/>
              </w:rPr>
            </w:pPr>
            <w:bookmarkStart w:id="188" w:name="_Toc79099662"/>
            <w:bookmarkStart w:id="189" w:name="_Toc68608260"/>
            <w:bookmarkStart w:id="190" w:name="_Toc68262100"/>
            <w:bookmarkStart w:id="191" w:name="_Toc68528601"/>
            <w:bookmarkStart w:id="192" w:name="_Toc68608272"/>
            <w:bookmarkStart w:id="193" w:name="_Toc68261803"/>
            <w:bookmarkStart w:id="194" w:name="_Toc68262411"/>
            <w:bookmarkStart w:id="195" w:name="_Toc79147723"/>
            <w:bookmarkStart w:id="196" w:name="_Toc68262240"/>
            <w:bookmarkStart w:id="197" w:name="_Toc68530792"/>
            <w:bookmarkStart w:id="198" w:name="_Toc68262160"/>
            <w:bookmarkStart w:id="199" w:name="_Toc78736006"/>
            <w:bookmarkStart w:id="200" w:name="_Toc68262219"/>
            <w:bookmarkStart w:id="201" w:name="_Toc68262120"/>
            <w:bookmarkStart w:id="202" w:name="_Toc79158906"/>
            <w:bookmarkStart w:id="203" w:name="_Toc79158918"/>
            <w:bookmarkStart w:id="204" w:name="_Toc68262273"/>
            <w:bookmarkStart w:id="205" w:name="_Toc68262206"/>
            <w:bookmarkStart w:id="206" w:name="_Toc68552638"/>
            <w:bookmarkStart w:id="207" w:name="_Toc68608210"/>
            <w:bookmarkStart w:id="208"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9" w:name="_Ref68205303"/>
            <w:bookmarkStart w:id="210" w:name="_Toc68262202"/>
            <w:bookmarkStart w:id="211" w:name="_Toc68608268"/>
            <w:bookmarkStart w:id="212" w:name="_Toc68261799"/>
            <w:bookmarkStart w:id="213" w:name="_Toc68262236"/>
            <w:bookmarkStart w:id="214" w:name="_Toc79147719"/>
            <w:bookmarkStart w:id="215" w:name="_Toc78736002"/>
            <w:bookmarkStart w:id="216" w:name="_Toc68262407"/>
            <w:bookmarkStart w:id="217" w:name="_Toc68262096"/>
            <w:bookmarkStart w:id="218" w:name="_Toc68608206"/>
            <w:bookmarkStart w:id="219" w:name="_Toc68528597"/>
            <w:bookmarkStart w:id="220" w:name="_Toc79158902"/>
            <w:bookmarkStart w:id="221" w:name="_Toc68262215"/>
            <w:bookmarkStart w:id="222" w:name="_Toc68530837"/>
            <w:bookmarkStart w:id="223" w:name="_Toc68262269"/>
            <w:bookmarkStart w:id="224" w:name="_Toc68552634"/>
            <w:bookmarkStart w:id="225" w:name="_Toc68608256"/>
            <w:bookmarkStart w:id="226" w:name="_Toc79158914"/>
            <w:bookmarkStart w:id="227" w:name="_Toc68262156"/>
            <w:bookmarkStart w:id="228" w:name="_Toc68262116"/>
            <w:bookmarkStart w:id="229" w:name="_Toc79099658"/>
            <w:bookmarkStart w:id="230"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267C0AAB" w14:textId="77777777" w:rsidR="00D84496" w:rsidRDefault="00D84496"/>
          <w:p w14:paraId="7FB1FC56" w14:textId="77777777" w:rsidR="00D84496" w:rsidRDefault="009404DE">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6A2A749D" w14:textId="77777777" w:rsidR="00D84496" w:rsidRDefault="00D84496"/>
          <w:p w14:paraId="79C89129" w14:textId="77777777" w:rsidR="00D84496" w:rsidRDefault="009404DE">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78E7AD81" w14:textId="77777777" w:rsidR="00D84496" w:rsidRDefault="009404DE">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 xml:space="preserve">In addition, if Y is defined in unit of </w:t>
            </w:r>
            <w:r>
              <w:rPr>
                <w:szCs w:val="18"/>
              </w:rPr>
              <w:lastRenderedPageBreak/>
              <w:t>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 xml:space="preserve">For example, </w:t>
            </w:r>
            <w:r>
              <w:lastRenderedPageBreak/>
              <w:t>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t>
            </w:r>
            <w:r>
              <w:lastRenderedPageBreak/>
              <w:t xml:space="preserve">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9404DE">
            <w:pPr>
              <w:spacing w:line="360" w:lineRule="auto"/>
              <w:jc w:val="center"/>
            </w:pPr>
            <w:r>
              <w:object w:dxaOrig="8548" w:dyaOrig="2164" w14:anchorId="6A1FC95F">
                <v:shape id="_x0000_i1028" type="#_x0000_t75" style="width:424.65pt;height:108pt" o:ole="">
                  <v:imagedata r:id="rId32" o:title=""/>
                </v:shape>
                <o:OLEObject Type="Embed" ProgID="Visio.Drawing.15" ShapeID="_x0000_i1028" DrawAspect="Content" ObjectID="_1691398946" r:id="rId33"/>
              </w:object>
            </w:r>
          </w:p>
          <w:p w14:paraId="19B23380" w14:textId="77777777" w:rsidR="00D84496" w:rsidRDefault="009404DE">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7A7ED356" w14:textId="77777777" w:rsidR="00D84496" w:rsidRDefault="009404DE">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w:t>
            </w:r>
            <w:r>
              <w:lastRenderedPageBreak/>
              <w:t xml:space="preserve">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fldSimple w:instr=" SEQ Table \* ARABIC ">
              <w:r>
                <w:t>5</w:t>
              </w:r>
            </w:fldSimple>
            <w:r>
              <w:t>. Search space set configuration</w:t>
            </w:r>
          </w:p>
          <w:p w14:paraId="5781DA98" w14:textId="77777777" w:rsidR="00D84496" w:rsidRDefault="009404DE">
            <w:pPr>
              <w:pStyle w:val="PL"/>
            </w:pPr>
            <w:r>
              <w:t xml:space="preserve">SearchSpace ::=                         </w:t>
            </w:r>
            <w:r>
              <w:rPr>
                <w:color w:val="993366"/>
              </w:rPr>
              <w:t>SEQUENCE</w:t>
            </w:r>
            <w:r>
              <w:t xml:space="preserve"> {</w:t>
            </w:r>
          </w:p>
          <w:p w14:paraId="2BABD0BD" w14:textId="77777777" w:rsidR="00D84496" w:rsidRDefault="009404DE">
            <w:pPr>
              <w:pStyle w:val="PL"/>
              <w:ind w:firstLine="390"/>
            </w:pPr>
            <w:r>
              <w:t>searchSpaceId                           SearchSpaceId,</w:t>
            </w:r>
          </w:p>
          <w:p w14:paraId="79739C21" w14:textId="77777777" w:rsidR="00D84496" w:rsidRDefault="009404DE">
            <w:pPr>
              <w:pStyle w:val="PL"/>
              <w:ind w:firstLine="390"/>
              <w:rPr>
                <w:color w:val="808080"/>
              </w:rPr>
            </w:pPr>
            <w:r>
              <w:t xml:space="preserve">controlResourceSetId                    ControlResourceSetId                                        </w:t>
            </w:r>
          </w:p>
          <w:p w14:paraId="6339840A" w14:textId="77777777" w:rsidR="00D84496" w:rsidRDefault="009404DE">
            <w:pPr>
              <w:pStyle w:val="PL"/>
              <w:ind w:firstLine="390"/>
            </w:pPr>
            <w:r>
              <w:rPr>
                <w:highlight w:val="yellow"/>
              </w:rPr>
              <w:t>monitoringSlotPeriodicityAndOffset</w:t>
            </w:r>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lastRenderedPageBreak/>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9404DE">
            <w:r>
              <w:object w:dxaOrig="9647" w:dyaOrig="2880" w14:anchorId="7972BDBE">
                <v:shape id="_x0000_i1029" type="#_x0000_t75" style="width:482.65pt;height:2in" o:ole="">
                  <v:imagedata r:id="rId36" o:title=""/>
                </v:shape>
                <o:OLEObject Type="Embed" ProgID="Visio.Drawing.15" ShapeID="_x0000_i1029" DrawAspect="Content" ObjectID="_1691398947"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587FAF0E" w14:textId="77777777" w:rsidR="00D84496" w:rsidRDefault="00D84496">
            <w:pPr>
              <w:ind w:left="288"/>
              <w:rPr>
                <w:lang w:eastAsia="zh-CN"/>
              </w:rPr>
            </w:pPr>
          </w:p>
          <w:p w14:paraId="356B95D0" w14:textId="77777777" w:rsidR="00D84496" w:rsidRDefault="009404DE">
            <w:pPr>
              <w:jc w:val="center"/>
            </w:pPr>
            <w:r>
              <w:object w:dxaOrig="9372" w:dyaOrig="4020" w14:anchorId="678304BE">
                <v:shape id="_x0000_i1030" type="#_x0000_t75" style="width:468pt;height:201.35pt" o:ole="">
                  <v:imagedata r:id="rId39" o:title=""/>
                </v:shape>
                <o:OLEObject Type="Embed" ProgID="Visio.Drawing.15" ShapeID="_x0000_i1030" DrawAspect="Content" ObjectID="_1691398948" r:id="rId40"/>
              </w:object>
            </w:r>
          </w:p>
          <w:p w14:paraId="7B5F0B59" w14:textId="77777777" w:rsidR="00D84496" w:rsidRDefault="009404DE">
            <w:pPr>
              <w:pStyle w:val="Caption"/>
            </w:pPr>
            <w:bookmarkStart w:id="243" w:name="_Ref68206910"/>
            <w:r>
              <w:t xml:space="preserve">Figure </w:t>
            </w:r>
            <w:fldSimple w:instr=" SEQ Figure \* ARABIC ">
              <w:r>
                <w:t>1</w:t>
              </w:r>
            </w:fldSimple>
            <w:bookmarkEnd w:id="243"/>
            <w:r>
              <w:t>: Configuration example of USS and CSS MOs.</w:t>
            </w:r>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An SSB identified by a recent random access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69"/>
            <w:bookmarkStart w:id="251" w:name="_Toc68608257"/>
            <w:bookmarkStart w:id="252" w:name="_Toc68262203"/>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79099659"/>
            <w:bookmarkStart w:id="261" w:name="_Toc78736003"/>
            <w:bookmarkStart w:id="262" w:name="_Toc68262157"/>
            <w:bookmarkStart w:id="263" w:name="_Toc68261800"/>
            <w:bookmarkStart w:id="264" w:name="_Toc68528598"/>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30C7074" w14:textId="77777777" w:rsidR="00D84496" w:rsidRDefault="00D84496"/>
          <w:p w14:paraId="5F42BEA5" w14:textId="77777777" w:rsidR="00D84496" w:rsidRDefault="009404DE">
            <w:pPr>
              <w:jc w:val="center"/>
            </w:pPr>
            <w:r>
              <w:object w:dxaOrig="9789" w:dyaOrig="1348" w14:anchorId="2859CF8E">
                <v:shape id="_x0000_i1031" type="#_x0000_t75" style="width:489.35pt;height:1in" o:ole="">
                  <v:imagedata r:id="rId41" o:title=""/>
                </v:shape>
                <o:OLEObject Type="Embed" ProgID="Visio.Drawing.15" ShapeID="_x0000_i1031" DrawAspect="Content" ObjectID="_1691398949" r:id="rId42"/>
              </w:object>
            </w:r>
          </w:p>
          <w:p w14:paraId="1E98BC1A" w14:textId="77777777" w:rsidR="00D84496" w:rsidRDefault="009404DE">
            <w:pPr>
              <w:pStyle w:val="Caption"/>
            </w:pPr>
            <w:bookmarkStart w:id="265" w:name="_Ref68252811"/>
            <w:r>
              <w:t xml:space="preserve">Figure </w:t>
            </w:r>
            <w:fldSimple w:instr=" SEQ Figure \* ARABIC ">
              <w:r>
                <w:t>2</w:t>
              </w:r>
            </w:fldSimple>
            <w:bookmarkEnd w:id="265"/>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9404DE">
            <w:pPr>
              <w:jc w:val="center"/>
              <w:rPr>
                <w:lang w:val="en-GB" w:eastAsia="zh-CN"/>
              </w:rPr>
            </w:pPr>
            <w:r>
              <w:object w:dxaOrig="7600" w:dyaOrig="2048" w14:anchorId="187C4EF5">
                <v:shape id="_x0000_i1032" type="#_x0000_t75" style="width:381.35pt;height:100.65pt" o:ole="">
                  <v:imagedata r:id="rId43" o:title=""/>
                </v:shape>
                <o:OLEObject Type="Embed" ProgID="Visio.Drawing.15" ShapeID="_x0000_i1032" DrawAspect="Content" ObjectID="_1691398950"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6" w:name="_Ref68624864"/>
            <w:r>
              <w:t xml:space="preserve">Figure </w:t>
            </w:r>
            <w:fldSimple w:instr=" SEQ Figure \* ARABIC ">
              <w:r>
                <w:t>1</w:t>
              </w:r>
            </w:fldSimple>
            <w:bookmarkEnd w:id="266"/>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70" w:name="_Toc79158919"/>
            <w:bookmarkStart w:id="271" w:name="_Toc79099663"/>
            <w:bookmarkStart w:id="272" w:name="_Toc79147724"/>
            <w:bookmarkStart w:id="273" w:name="_Toc78736007"/>
            <w:bookmarkStart w:id="274"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5" w:name="_Toc79158920"/>
            <w:bookmarkStart w:id="276" w:name="_Toc79158908"/>
            <w:bookmarkStart w:id="277" w:name="_Toc78736008"/>
            <w:bookmarkStart w:id="278" w:name="_Toc79147725"/>
            <w:bookmarkStart w:id="279"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PCell or PSCell </w:t>
            </w:r>
          </w:p>
          <w:p w14:paraId="38871567" w14:textId="77777777" w:rsidR="00D84496" w:rsidRDefault="009404DE">
            <w:pPr>
              <w:pStyle w:val="B1"/>
              <w:numPr>
                <w:ilvl w:val="1"/>
                <w:numId w:val="66"/>
              </w:numPr>
              <w:spacing w:before="60" w:after="0" w:line="240" w:lineRule="auto"/>
              <w:rPr>
                <w:lang w:eastAsia="zh-CN"/>
              </w:rPr>
            </w:pPr>
            <w:r>
              <w:rPr>
                <w:lang w:eastAsia="zh-CN"/>
              </w:rPr>
              <w:t>For a SCell,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9404DE">
            <w:pPr>
              <w:pStyle w:val="BodyText"/>
              <w:jc w:val="center"/>
              <w:rPr>
                <w:rFonts w:eastAsia="SimSun"/>
                <w:b/>
                <w:sz w:val="18"/>
                <w:szCs w:val="18"/>
                <w:lang w:eastAsia="zh-CN"/>
              </w:rPr>
            </w:pPr>
            <w:r>
              <w:object w:dxaOrig="4220" w:dyaOrig="7300" w14:anchorId="33A42AEE">
                <v:shape id="_x0000_i1033" type="#_x0000_t75" style="width:208.65pt;height:367.35pt" o:ole="">
                  <v:imagedata r:id="rId46" o:title=""/>
                </v:shape>
                <o:OLEObject Type="Embed" ProgID="Visio.Drawing.15" ShapeID="_x0000_i1033" DrawAspect="Content" ObjectID="_1691398951"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lastRenderedPageBreak/>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t>Topic D: Multi-Cell Operation, Cross-carrier scheduling</w:t>
      </w:r>
    </w:p>
    <w:p w14:paraId="469C99DE" w14:textId="77777777" w:rsidR="00D84496" w:rsidRDefault="009404DE">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4" w:name="_Toc68262271"/>
            <w:bookmarkStart w:id="285" w:name="_Toc68262238"/>
            <w:bookmarkStart w:id="286" w:name="_Toc68262217"/>
            <w:bookmarkStart w:id="287" w:name="_Toc68262204"/>
            <w:bookmarkStart w:id="288" w:name="_Toc68262118"/>
            <w:bookmarkStart w:id="289" w:name="_Toc68262158"/>
            <w:bookmarkStart w:id="290" w:name="_Toc68261801"/>
            <w:bookmarkStart w:id="291" w:name="_Toc68262098"/>
            <w:bookmarkStart w:id="292" w:name="_Toc68530839"/>
            <w:bookmarkStart w:id="293" w:name="_Toc68528599"/>
            <w:bookmarkStart w:id="294" w:name="_Toc68530790"/>
            <w:bookmarkStart w:id="295" w:name="_Toc79147721"/>
            <w:bookmarkStart w:id="296" w:name="_Toc79099660"/>
            <w:bookmarkStart w:id="297" w:name="_Toc79158904"/>
            <w:bookmarkStart w:id="298" w:name="_Toc68608208"/>
            <w:bookmarkStart w:id="299" w:name="_Toc78736004"/>
            <w:bookmarkStart w:id="300" w:name="_Toc68608270"/>
            <w:bookmarkStart w:id="301" w:name="_Toc79158916"/>
            <w:bookmarkStart w:id="302" w:name="_Toc68262409"/>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List of submitted TDocs</w:t>
      </w:r>
    </w:p>
    <w:p w14:paraId="4E08E323" w14:textId="77777777" w:rsidR="00D84496" w:rsidRDefault="009404DE">
      <w:pPr>
        <w:rPr>
          <w:lang w:val="en-GB" w:eastAsia="zh-CN"/>
        </w:rPr>
      </w:pPr>
      <w:r>
        <w:rPr>
          <w:lang w:val="en-GB" w:eastAsia="zh-CN"/>
        </w:rPr>
        <w:t>The following TDocs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Huawei, HiSilicon</w:t>
      </w:r>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EF491" w14:textId="77777777" w:rsidR="00C526E8" w:rsidRDefault="00C526E8" w:rsidP="0027098B">
      <w:pPr>
        <w:spacing w:after="0" w:line="240" w:lineRule="auto"/>
      </w:pPr>
      <w:r>
        <w:separator/>
      </w:r>
    </w:p>
  </w:endnote>
  <w:endnote w:type="continuationSeparator" w:id="0">
    <w:p w14:paraId="73DD7521" w14:textId="77777777" w:rsidR="00C526E8" w:rsidRDefault="00C526E8"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
    <w:altName w:val="Microsoft YaHei Light"/>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44E8D" w14:textId="77777777" w:rsidR="00C526E8" w:rsidRDefault="00C526E8" w:rsidP="0027098B">
      <w:pPr>
        <w:spacing w:after="0" w:line="240" w:lineRule="auto"/>
      </w:pPr>
      <w:r>
        <w:separator/>
      </w:r>
    </w:p>
  </w:footnote>
  <w:footnote w:type="continuationSeparator" w:id="0">
    <w:p w14:paraId="3DA46228" w14:textId="77777777" w:rsidR="00C526E8" w:rsidRDefault="00C526E8"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7"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2"/>
  </w:num>
  <w:num w:numId="3">
    <w:abstractNumId w:val="72"/>
  </w:num>
  <w:num w:numId="4">
    <w:abstractNumId w:val="67"/>
  </w:num>
  <w:num w:numId="5">
    <w:abstractNumId w:val="54"/>
  </w:num>
  <w:num w:numId="6">
    <w:abstractNumId w:val="41"/>
  </w:num>
  <w:num w:numId="7">
    <w:abstractNumId w:val="46"/>
  </w:num>
  <w:num w:numId="8">
    <w:abstractNumId w:val="74"/>
  </w:num>
  <w:num w:numId="9">
    <w:abstractNumId w:val="47"/>
  </w:num>
  <w:num w:numId="10">
    <w:abstractNumId w:val="69"/>
  </w:num>
  <w:num w:numId="11">
    <w:abstractNumId w:val="36"/>
  </w:num>
  <w:num w:numId="12">
    <w:abstractNumId w:val="24"/>
  </w:num>
  <w:num w:numId="13">
    <w:abstractNumId w:val="33"/>
  </w:num>
  <w:num w:numId="14">
    <w:abstractNumId w:val="52"/>
  </w:num>
  <w:num w:numId="15">
    <w:abstractNumId w:val="29"/>
  </w:num>
  <w:num w:numId="16">
    <w:abstractNumId w:val="50"/>
  </w:num>
  <w:num w:numId="17">
    <w:abstractNumId w:val="15"/>
  </w:num>
  <w:num w:numId="18">
    <w:abstractNumId w:val="30"/>
  </w:num>
  <w:num w:numId="19">
    <w:abstractNumId w:val="59"/>
  </w:num>
  <w:num w:numId="20">
    <w:abstractNumId w:val="45"/>
  </w:num>
  <w:num w:numId="21">
    <w:abstractNumId w:val="57"/>
  </w:num>
  <w:num w:numId="22">
    <w:abstractNumId w:val="53"/>
  </w:num>
  <w:num w:numId="23">
    <w:abstractNumId w:val="43"/>
  </w:num>
  <w:num w:numId="24">
    <w:abstractNumId w:val="9"/>
  </w:num>
  <w:num w:numId="25">
    <w:abstractNumId w:val="64"/>
  </w:num>
  <w:num w:numId="26">
    <w:abstractNumId w:val="27"/>
  </w:num>
  <w:num w:numId="27">
    <w:abstractNumId w:val="70"/>
  </w:num>
  <w:num w:numId="28">
    <w:abstractNumId w:val="38"/>
  </w:num>
  <w:num w:numId="29">
    <w:abstractNumId w:val="44"/>
  </w:num>
  <w:num w:numId="30">
    <w:abstractNumId w:val="35"/>
  </w:num>
  <w:num w:numId="31">
    <w:abstractNumId w:val="71"/>
  </w:num>
  <w:num w:numId="32">
    <w:abstractNumId w:val="14"/>
  </w:num>
  <w:num w:numId="33">
    <w:abstractNumId w:val="5"/>
  </w:num>
  <w:num w:numId="34">
    <w:abstractNumId w:val="13"/>
  </w:num>
  <w:num w:numId="35">
    <w:abstractNumId w:val="2"/>
  </w:num>
  <w:num w:numId="36">
    <w:abstractNumId w:val="62"/>
  </w:num>
  <w:num w:numId="37">
    <w:abstractNumId w:val="4"/>
  </w:num>
  <w:num w:numId="38">
    <w:abstractNumId w:val="20"/>
  </w:num>
  <w:num w:numId="39">
    <w:abstractNumId w:val="55"/>
  </w:num>
  <w:num w:numId="40">
    <w:abstractNumId w:val="21"/>
  </w:num>
  <w:num w:numId="41">
    <w:abstractNumId w:val="1"/>
  </w:num>
  <w:num w:numId="42">
    <w:abstractNumId w:val="0"/>
  </w:num>
  <w:num w:numId="43">
    <w:abstractNumId w:val="60"/>
  </w:num>
  <w:num w:numId="44">
    <w:abstractNumId w:val="7"/>
  </w:num>
  <w:num w:numId="45">
    <w:abstractNumId w:val="66"/>
  </w:num>
  <w:num w:numId="46">
    <w:abstractNumId w:val="10"/>
  </w:num>
  <w:num w:numId="47">
    <w:abstractNumId w:val="6"/>
  </w:num>
  <w:num w:numId="48">
    <w:abstractNumId w:val="39"/>
  </w:num>
  <w:num w:numId="49">
    <w:abstractNumId w:val="26"/>
  </w:num>
  <w:num w:numId="50">
    <w:abstractNumId w:val="65"/>
  </w:num>
  <w:num w:numId="51">
    <w:abstractNumId w:val="37"/>
  </w:num>
  <w:num w:numId="52">
    <w:abstractNumId w:val="58"/>
  </w:num>
  <w:num w:numId="53">
    <w:abstractNumId w:val="25"/>
  </w:num>
  <w:num w:numId="54">
    <w:abstractNumId w:val="63"/>
  </w:num>
  <w:num w:numId="55">
    <w:abstractNumId w:val="34"/>
  </w:num>
  <w:num w:numId="56">
    <w:abstractNumId w:val="56"/>
  </w:num>
  <w:num w:numId="57">
    <w:abstractNumId w:val="18"/>
  </w:num>
  <w:num w:numId="58">
    <w:abstractNumId w:val="49"/>
  </w:num>
  <w:num w:numId="59">
    <w:abstractNumId w:val="61"/>
  </w:num>
  <w:num w:numId="60">
    <w:abstractNumId w:val="16"/>
  </w:num>
  <w:num w:numId="61">
    <w:abstractNumId w:val="17"/>
  </w:num>
  <w:num w:numId="62">
    <w:abstractNumId w:val="73"/>
  </w:num>
  <w:num w:numId="63">
    <w:abstractNumId w:val="22"/>
  </w:num>
  <w:num w:numId="64">
    <w:abstractNumId w:val="40"/>
  </w:num>
  <w:num w:numId="65">
    <w:abstractNumId w:val="28"/>
  </w:num>
  <w:num w:numId="66">
    <w:abstractNumId w:val="51"/>
  </w:num>
  <w:num w:numId="67">
    <w:abstractNumId w:val="23"/>
  </w:num>
  <w:num w:numId="68">
    <w:abstractNumId w:val="48"/>
  </w:num>
  <w:num w:numId="69">
    <w:abstractNumId w:val="19"/>
  </w:num>
  <w:num w:numId="70">
    <w:abstractNumId w:val="42"/>
  </w:num>
  <w:num w:numId="71">
    <w:abstractNumId w:val="68"/>
  </w:num>
  <w:num w:numId="72">
    <w:abstractNumId w:val="3"/>
  </w:num>
  <w:num w:numId="73">
    <w:abstractNumId w:val="31"/>
  </w:num>
  <w:num w:numId="74">
    <w:abstractNumId w:val="11"/>
  </w:num>
  <w:num w:numId="75">
    <w:abstractNumId w:val="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EB2"/>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出段落,列表段落,列表段落11"/>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4F4E8C-069D-4D5C-B8E5-81CDE2E0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128</Pages>
  <Words>42522</Words>
  <Characters>242380</Characters>
  <Application>Microsoft Office Word</Application>
  <DocSecurity>0</DocSecurity>
  <Lines>2019</Lines>
  <Paragraphs>568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Hongbo Si/5G PHY Standards /SRA/Staff Engineer/Samsung Electronics</cp:lastModifiedBy>
  <cp:revision>4</cp:revision>
  <cp:lastPrinted>2016-08-13T07:06:00Z</cp:lastPrinted>
  <dcterms:created xsi:type="dcterms:W3CDTF">2021-08-25T15:50:00Z</dcterms:created>
  <dcterms:modified xsi:type="dcterms:W3CDTF">2021-08-25T16:57:00Z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